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Ind w:w="542" w:type="dxa"/>
        <w:tblLook w:val="04A0" w:firstRow="1" w:lastRow="0" w:firstColumn="1" w:lastColumn="0" w:noHBand="0" w:noVBand="1"/>
      </w:tblPr>
      <w:tblGrid>
        <w:gridCol w:w="4244"/>
        <w:gridCol w:w="4961"/>
      </w:tblGrid>
      <w:tr w:rsidR="00BA5C57" w:rsidRPr="00D925DE" w:rsidTr="000F001A">
        <w:trPr>
          <w:trHeight w:val="2552"/>
        </w:trPr>
        <w:tc>
          <w:tcPr>
            <w:tcW w:w="4244" w:type="dxa"/>
          </w:tcPr>
          <w:p w:rsidR="00BA5C57" w:rsidRPr="00D925DE" w:rsidRDefault="00BA5C57" w:rsidP="000F001A">
            <w:pPr>
              <w:pStyle w:val="Normal1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BA5C57" w:rsidRPr="00D925DE" w:rsidRDefault="00BA5C57" w:rsidP="000F001A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 w:rsidRPr="00D925DE">
              <w:rPr>
                <w:b/>
                <w:snapToGrid w:val="0"/>
                <w:sz w:val="28"/>
                <w:szCs w:val="28"/>
              </w:rPr>
              <w:t>УТВЕРЖДЕНА</w:t>
            </w:r>
          </w:p>
          <w:p w:rsidR="00BA5C57" w:rsidRPr="00D925DE" w:rsidRDefault="00BA5C57" w:rsidP="000F001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925DE">
              <w:rPr>
                <w:snapToGrid w:val="0"/>
                <w:sz w:val="28"/>
                <w:szCs w:val="28"/>
              </w:rPr>
              <w:t xml:space="preserve">Приказом Председателя </w:t>
            </w:r>
          </w:p>
          <w:p w:rsidR="00BA5C57" w:rsidRPr="00D925DE" w:rsidRDefault="00BA5C57" w:rsidP="000F001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925DE">
              <w:rPr>
                <w:snapToGrid w:val="0"/>
                <w:sz w:val="28"/>
                <w:szCs w:val="28"/>
              </w:rPr>
              <w:t>РГУ «</w:t>
            </w:r>
            <w:r w:rsidR="00AD7141" w:rsidRPr="00D925DE">
              <w:rPr>
                <w:snapToGrid w:val="0"/>
                <w:sz w:val="28"/>
                <w:szCs w:val="28"/>
              </w:rPr>
              <w:t>Комитет медицинского</w:t>
            </w:r>
            <w:r w:rsidRPr="00D925DE">
              <w:rPr>
                <w:snapToGrid w:val="0"/>
                <w:sz w:val="28"/>
                <w:szCs w:val="28"/>
              </w:rPr>
              <w:t xml:space="preserve"> и фармацевтического </w:t>
            </w:r>
            <w:r w:rsidR="00AD7141" w:rsidRPr="00D925DE">
              <w:rPr>
                <w:snapToGrid w:val="0"/>
                <w:sz w:val="28"/>
                <w:szCs w:val="28"/>
              </w:rPr>
              <w:t>контроля Министерства</w:t>
            </w:r>
            <w:r w:rsidRPr="00D925DE">
              <w:rPr>
                <w:snapToGrid w:val="0"/>
                <w:sz w:val="28"/>
                <w:szCs w:val="28"/>
              </w:rPr>
              <w:t xml:space="preserve"> здравоохранения </w:t>
            </w:r>
          </w:p>
          <w:p w:rsidR="00BA5C57" w:rsidRPr="00D925DE" w:rsidRDefault="00BA5C57" w:rsidP="000F001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925DE">
              <w:rPr>
                <w:snapToGrid w:val="0"/>
                <w:sz w:val="28"/>
                <w:szCs w:val="28"/>
              </w:rPr>
              <w:t>Республики Казахстан»</w:t>
            </w:r>
          </w:p>
          <w:p w:rsidR="00BA5C57" w:rsidRPr="00D925DE" w:rsidRDefault="00BA5C57" w:rsidP="000F001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925DE">
              <w:rPr>
                <w:snapToGrid w:val="0"/>
                <w:sz w:val="28"/>
                <w:szCs w:val="28"/>
              </w:rPr>
              <w:t>от «____»</w:t>
            </w:r>
            <w:r w:rsidR="00AD7141">
              <w:rPr>
                <w:snapToGrid w:val="0"/>
                <w:sz w:val="28"/>
                <w:szCs w:val="28"/>
              </w:rPr>
              <w:t xml:space="preserve"> </w:t>
            </w:r>
            <w:r w:rsidRPr="00D925DE">
              <w:rPr>
                <w:snapToGrid w:val="0"/>
                <w:sz w:val="28"/>
                <w:szCs w:val="28"/>
              </w:rPr>
              <w:t>____________20__г.</w:t>
            </w:r>
          </w:p>
          <w:p w:rsidR="00BA5C57" w:rsidRPr="00D925DE" w:rsidRDefault="00BA5C57" w:rsidP="000F00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5DE">
              <w:rPr>
                <w:snapToGrid w:val="0"/>
                <w:sz w:val="28"/>
                <w:szCs w:val="28"/>
              </w:rPr>
              <w:t>№ ______________</w:t>
            </w:r>
          </w:p>
        </w:tc>
      </w:tr>
    </w:tbl>
    <w:p w:rsidR="00BA5C57" w:rsidRPr="00D925DE" w:rsidRDefault="00BA5C57" w:rsidP="00BA5C57">
      <w:pPr>
        <w:jc w:val="both"/>
        <w:rPr>
          <w:b/>
          <w:sz w:val="28"/>
          <w:szCs w:val="28"/>
        </w:rPr>
      </w:pPr>
    </w:p>
    <w:p w:rsidR="00BA5C57" w:rsidRPr="00D925DE" w:rsidRDefault="00BA5C57" w:rsidP="00BA5C57">
      <w:pPr>
        <w:autoSpaceDE w:val="0"/>
        <w:autoSpaceDN w:val="0"/>
        <w:jc w:val="center"/>
        <w:rPr>
          <w:b/>
          <w:sz w:val="28"/>
          <w:szCs w:val="28"/>
        </w:rPr>
      </w:pPr>
      <w:r w:rsidRPr="00D925DE">
        <w:rPr>
          <w:b/>
          <w:sz w:val="28"/>
          <w:szCs w:val="28"/>
        </w:rPr>
        <w:t>Инструкция по медицинскому применению</w:t>
      </w:r>
    </w:p>
    <w:p w:rsidR="00BA5C57" w:rsidRPr="00D925DE" w:rsidRDefault="00BA5C57" w:rsidP="00BA5C57">
      <w:pPr>
        <w:autoSpaceDE w:val="0"/>
        <w:autoSpaceDN w:val="0"/>
        <w:jc w:val="center"/>
        <w:rPr>
          <w:b/>
          <w:sz w:val="28"/>
          <w:szCs w:val="28"/>
        </w:rPr>
      </w:pPr>
      <w:r w:rsidRPr="00D925DE">
        <w:rPr>
          <w:b/>
          <w:sz w:val="28"/>
          <w:szCs w:val="28"/>
        </w:rPr>
        <w:t>лекарственного препарата (Листок-вкладыш)</w:t>
      </w:r>
    </w:p>
    <w:p w:rsidR="00BA5C57" w:rsidRPr="00D925DE" w:rsidRDefault="00BA5C57" w:rsidP="00BA5C57">
      <w:pPr>
        <w:jc w:val="both"/>
        <w:rPr>
          <w:b/>
          <w:sz w:val="28"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  <w:r w:rsidRPr="00D925DE">
        <w:rPr>
          <w:rFonts w:ascii="Times New Roman" w:hAnsi="Times New Roman"/>
          <w:b/>
          <w:szCs w:val="28"/>
        </w:rPr>
        <w:t xml:space="preserve">Торговое наименование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szCs w:val="28"/>
        </w:rPr>
        <w:t xml:space="preserve">Аскорбиновая кислота с глюкозой </w:t>
      </w:r>
    </w:p>
    <w:p w:rsidR="00BA5C57" w:rsidRPr="00D925DE" w:rsidRDefault="00BA5C57" w:rsidP="00BA5C57">
      <w:pPr>
        <w:pStyle w:val="a3"/>
        <w:ind w:firstLine="708"/>
        <w:rPr>
          <w:rFonts w:ascii="Times New Roman" w:hAnsi="Times New Roman"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  <w:r w:rsidRPr="00D925DE">
        <w:rPr>
          <w:rFonts w:ascii="Times New Roman" w:hAnsi="Times New Roman"/>
          <w:b/>
          <w:szCs w:val="28"/>
        </w:rPr>
        <w:t xml:space="preserve">Международное непатентованное название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szCs w:val="28"/>
        </w:rPr>
        <w:t>Нет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b/>
          <w:szCs w:val="28"/>
        </w:rPr>
        <w:t>Лекарственная форма</w:t>
      </w:r>
      <w:r w:rsidRPr="00D925DE">
        <w:rPr>
          <w:rFonts w:ascii="Times New Roman" w:hAnsi="Times New Roman"/>
          <w:szCs w:val="28"/>
        </w:rPr>
        <w:t xml:space="preserve">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szCs w:val="28"/>
        </w:rPr>
        <w:t xml:space="preserve">Таблетки 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>Фармакотерапевтическая группа</w:t>
      </w:r>
    </w:p>
    <w:p w:rsidR="00BA5C57" w:rsidRDefault="00BA5C57" w:rsidP="00BA5C5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k-KZ" w:eastAsia="ko-KR"/>
        </w:rPr>
        <w:t>Пищеварительный тракт и обмен веществ</w:t>
      </w:r>
      <w:r>
        <w:rPr>
          <w:rFonts w:ascii="Times New Roman" w:hAnsi="Times New Roman"/>
          <w:szCs w:val="28"/>
          <w:lang w:eastAsia="ko-KR"/>
        </w:rPr>
        <w:t xml:space="preserve">. </w:t>
      </w:r>
      <w:r w:rsidRPr="00D925DE">
        <w:rPr>
          <w:rFonts w:ascii="Times New Roman" w:hAnsi="Times New Roman"/>
          <w:szCs w:val="28"/>
          <w:lang w:eastAsia="ko-KR"/>
        </w:rPr>
        <w:t xml:space="preserve">Витамины. </w:t>
      </w:r>
      <w:r w:rsidRPr="00D925DE">
        <w:rPr>
          <w:rFonts w:ascii="Times New Roman" w:hAnsi="Times New Roman"/>
          <w:szCs w:val="28"/>
        </w:rPr>
        <w:t>Аскорбиновая кислота</w:t>
      </w:r>
      <w:r w:rsidRPr="001942D2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Витамин С)</w:t>
      </w:r>
      <w:r w:rsidRPr="00D925DE">
        <w:rPr>
          <w:rFonts w:ascii="Times New Roman" w:hAnsi="Times New Roman"/>
          <w:szCs w:val="28"/>
        </w:rPr>
        <w:t>, включая комбинации</w:t>
      </w:r>
      <w:r>
        <w:rPr>
          <w:rFonts w:ascii="Times New Roman" w:hAnsi="Times New Roman"/>
          <w:szCs w:val="28"/>
        </w:rPr>
        <w:t xml:space="preserve">. </w:t>
      </w:r>
      <w:r w:rsidRPr="00D925DE">
        <w:rPr>
          <w:rFonts w:ascii="Times New Roman" w:hAnsi="Times New Roman"/>
          <w:szCs w:val="28"/>
        </w:rPr>
        <w:t>Аскорбиновая кислота</w:t>
      </w:r>
      <w:r w:rsidRPr="001942D2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Витамин С)</w:t>
      </w:r>
      <w:r w:rsidRPr="00D925DE">
        <w:rPr>
          <w:rFonts w:ascii="Times New Roman" w:hAnsi="Times New Roman"/>
          <w:szCs w:val="28"/>
        </w:rPr>
        <w:t>, комбинации</w:t>
      </w:r>
      <w:r>
        <w:rPr>
          <w:rFonts w:ascii="Times New Roman" w:hAnsi="Times New Roman"/>
          <w:szCs w:val="28"/>
        </w:rPr>
        <w:t>.</w:t>
      </w:r>
    </w:p>
    <w:p w:rsidR="00BA5C57" w:rsidRPr="001942D2" w:rsidRDefault="00BA5C57" w:rsidP="00BA5C57">
      <w:pPr>
        <w:pStyle w:val="a3"/>
        <w:rPr>
          <w:rFonts w:ascii="Times New Roman" w:hAnsi="Times New Roman"/>
          <w:szCs w:val="28"/>
        </w:rPr>
      </w:pPr>
      <w:r w:rsidRPr="001942D2">
        <w:rPr>
          <w:rFonts w:ascii="Times New Roman" w:hAnsi="Times New Roman"/>
          <w:szCs w:val="28"/>
        </w:rPr>
        <w:t>Код АТХ А11GB</w:t>
      </w:r>
    </w:p>
    <w:p w:rsidR="00BA5C57" w:rsidRPr="00D925DE" w:rsidRDefault="00BA5C57" w:rsidP="00BA5C57">
      <w:pPr>
        <w:shd w:val="clear" w:color="auto" w:fill="FFFFFF"/>
        <w:jc w:val="both"/>
        <w:rPr>
          <w:sz w:val="28"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>Показания к применению</w:t>
      </w:r>
      <w:r w:rsidRPr="00D925DE">
        <w:rPr>
          <w:rFonts w:ascii="Times New Roman" w:hAnsi="Times New Roman"/>
          <w:szCs w:val="28"/>
          <w:lang w:eastAsia="ko-KR"/>
        </w:rPr>
        <w:t xml:space="preserve">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 xml:space="preserve">-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гипо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- и авитаминоз C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повышенная потребность в аскорбиновой кислоте (период интенсивного роста, беременность, период лактации, повышенные физические нагрузки, период реконвалесценции).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</w:p>
    <w:p w:rsidR="00BA5C57" w:rsidRPr="00D925DE" w:rsidRDefault="00BA5C57" w:rsidP="00BA5C57">
      <w:pPr>
        <w:jc w:val="both"/>
        <w:rPr>
          <w:sz w:val="28"/>
          <w:szCs w:val="28"/>
          <w:shd w:val="clear" w:color="auto" w:fill="FFFFFF"/>
        </w:rPr>
      </w:pPr>
      <w:r w:rsidRPr="00D925DE">
        <w:rPr>
          <w:b/>
          <w:sz w:val="28"/>
          <w:szCs w:val="28"/>
        </w:rPr>
        <w:t>Перечень сведений, необходимых до начала применения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i/>
          <w:szCs w:val="28"/>
          <w:lang w:eastAsia="ko-KR"/>
        </w:rPr>
      </w:pPr>
      <w:r w:rsidRPr="00D925DE">
        <w:rPr>
          <w:rFonts w:ascii="Times New Roman" w:hAnsi="Times New Roman"/>
          <w:b/>
          <w:i/>
          <w:szCs w:val="28"/>
          <w:lang w:eastAsia="ko-KR"/>
        </w:rPr>
        <w:t>Противопоказания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гиперчувствительность к компонентам препарата</w:t>
      </w:r>
    </w:p>
    <w:p w:rsidR="00BA5C57" w:rsidRPr="00D925DE" w:rsidRDefault="00BA5C57" w:rsidP="00BA5C5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D925DE">
        <w:rPr>
          <w:sz w:val="28"/>
          <w:szCs w:val="28"/>
        </w:rPr>
        <w:t xml:space="preserve">- лицам с </w:t>
      </w:r>
      <w:proofErr w:type="spellStart"/>
      <w:r w:rsidRPr="00D925DE">
        <w:rPr>
          <w:sz w:val="28"/>
          <w:szCs w:val="28"/>
        </w:rPr>
        <w:t>мальабсорбцией</w:t>
      </w:r>
      <w:proofErr w:type="spellEnd"/>
      <w:r w:rsidRPr="00D925DE">
        <w:rPr>
          <w:sz w:val="28"/>
          <w:szCs w:val="28"/>
        </w:rPr>
        <w:t xml:space="preserve"> глюкозы/галактозы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детский возраст до 6 лет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тромбофлебиты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склонность к тромбозам.</w:t>
      </w:r>
    </w:p>
    <w:p w:rsidR="00BA5C57" w:rsidRPr="00D925DE" w:rsidRDefault="00BA5C57" w:rsidP="00BA5C57">
      <w:pPr>
        <w:pStyle w:val="a3"/>
        <w:rPr>
          <w:rFonts w:ascii="Times New Roman" w:hAnsi="Times New Roman"/>
          <w:i/>
          <w:szCs w:val="28"/>
          <w:lang w:eastAsia="ko-KR"/>
        </w:rPr>
      </w:pPr>
      <w:r w:rsidRPr="00D925DE">
        <w:rPr>
          <w:rFonts w:ascii="Times New Roman" w:hAnsi="Times New Roman"/>
          <w:b/>
          <w:i/>
          <w:szCs w:val="28"/>
          <w:lang w:eastAsia="ko-KR"/>
        </w:rPr>
        <w:t>Взаимодействия с другими лекарственными препаратами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 xml:space="preserve">Аскорбиновая кислота повышает концентрацию в крови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бензилпенициллина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и тетрациклина; в дозе 1 г/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сут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повышает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биодоступность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этинилэстрадиола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(в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т.ч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. входящего в состав пероральных контрацептивов). 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lastRenderedPageBreak/>
        <w:t xml:space="preserve">Улучшает всасывание в кишечнике препаратов железа, может повышать выведение железа при одновременном применении с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дефероксамином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. 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>Снижает эффективность гепарина и непрямых антикоагулянтов.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 xml:space="preserve">Ацетилсалициловая кислота, пероральные контрацептивы, свежие соки и щелочное питье снижают ее </w:t>
      </w:r>
      <w:r w:rsidR="00AD7141" w:rsidRPr="00D925DE">
        <w:rPr>
          <w:rFonts w:ascii="Times New Roman" w:hAnsi="Times New Roman"/>
          <w:color w:val="000000"/>
          <w:szCs w:val="28"/>
        </w:rPr>
        <w:t>всасывание и</w:t>
      </w:r>
      <w:r w:rsidRPr="00D925DE">
        <w:rPr>
          <w:rFonts w:ascii="Times New Roman" w:hAnsi="Times New Roman"/>
          <w:color w:val="000000"/>
          <w:szCs w:val="28"/>
        </w:rPr>
        <w:t xml:space="preserve"> усвоение. 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 xml:space="preserve">Увеличивает риск развития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кристаллурии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при лечении салицилатами и </w:t>
      </w:r>
      <w:r w:rsidR="00AD7141" w:rsidRPr="00D925DE">
        <w:rPr>
          <w:rFonts w:ascii="Times New Roman" w:hAnsi="Times New Roman"/>
          <w:color w:val="000000"/>
          <w:szCs w:val="28"/>
        </w:rPr>
        <w:t>сульфаниламидами короткого</w:t>
      </w:r>
      <w:r w:rsidRPr="00D925DE">
        <w:rPr>
          <w:rFonts w:ascii="Times New Roman" w:hAnsi="Times New Roman"/>
          <w:color w:val="000000"/>
          <w:szCs w:val="28"/>
        </w:rPr>
        <w:t xml:space="preserve"> действия, замедляет выведение почками кислот, увеличивает выведение лекарственных средств, имеющих щелочную реакцию (в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т.ч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. алкалоидов, снижает концентрацию в </w:t>
      </w:r>
      <w:r w:rsidR="00AD7141" w:rsidRPr="00D925DE">
        <w:rPr>
          <w:rFonts w:ascii="Times New Roman" w:hAnsi="Times New Roman"/>
          <w:color w:val="000000"/>
          <w:szCs w:val="28"/>
        </w:rPr>
        <w:t>крови пероральных</w:t>
      </w:r>
      <w:r w:rsidRPr="00D925DE">
        <w:rPr>
          <w:rFonts w:ascii="Times New Roman" w:hAnsi="Times New Roman"/>
          <w:color w:val="000000"/>
          <w:szCs w:val="28"/>
        </w:rPr>
        <w:t xml:space="preserve"> контрацептивов). 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>Повышает общий клиренс этанола, который в свою очередь снижает концентрацию аскорбиновой кислоты в организме.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 xml:space="preserve">В высоких дозах повышает </w:t>
      </w:r>
      <w:r w:rsidR="00AD7141" w:rsidRPr="00D925DE">
        <w:rPr>
          <w:rFonts w:ascii="Times New Roman" w:hAnsi="Times New Roman"/>
          <w:color w:val="000000"/>
          <w:szCs w:val="28"/>
        </w:rPr>
        <w:t xml:space="preserve">выведение </w:t>
      </w:r>
      <w:proofErr w:type="spellStart"/>
      <w:r w:rsidR="00AD7141" w:rsidRPr="00D925DE">
        <w:rPr>
          <w:rFonts w:ascii="Times New Roman" w:hAnsi="Times New Roman"/>
          <w:color w:val="000000"/>
          <w:szCs w:val="28"/>
        </w:rPr>
        <w:t>мексилетина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почками.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>Барбитураты повышают выведение аскорбиновой кислоты с мочой.</w:t>
      </w:r>
    </w:p>
    <w:p w:rsidR="00BA5C57" w:rsidRPr="00D925DE" w:rsidRDefault="00BA5C57" w:rsidP="00BA5C57">
      <w:pPr>
        <w:pStyle w:val="a3"/>
        <w:rPr>
          <w:rFonts w:ascii="Times New Roman" w:hAnsi="Times New Roman"/>
          <w:color w:val="000000"/>
          <w:szCs w:val="28"/>
        </w:rPr>
      </w:pPr>
      <w:r w:rsidRPr="00D925DE">
        <w:rPr>
          <w:rFonts w:ascii="Times New Roman" w:hAnsi="Times New Roman"/>
          <w:color w:val="000000"/>
          <w:szCs w:val="28"/>
        </w:rPr>
        <w:t xml:space="preserve">Уменьшает терапевтическое действие антипсихотических лекарственных средств (нейролептиков) – производных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фенотиазина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канальцевую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реабсорбцию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925DE">
        <w:rPr>
          <w:rFonts w:ascii="Times New Roman" w:hAnsi="Times New Roman"/>
          <w:color w:val="000000"/>
          <w:szCs w:val="28"/>
        </w:rPr>
        <w:t>амфетамина</w:t>
      </w:r>
      <w:proofErr w:type="spellEnd"/>
      <w:r w:rsidRPr="00D925DE">
        <w:rPr>
          <w:rFonts w:ascii="Times New Roman" w:hAnsi="Times New Roman"/>
          <w:color w:val="000000"/>
          <w:szCs w:val="28"/>
        </w:rPr>
        <w:t xml:space="preserve"> и трициклических антидепрессантов.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i/>
          <w:szCs w:val="28"/>
          <w:lang w:eastAsia="ko-KR"/>
        </w:rPr>
      </w:pPr>
      <w:r w:rsidRPr="00D925DE">
        <w:rPr>
          <w:rFonts w:ascii="Times New Roman" w:hAnsi="Times New Roman"/>
          <w:b/>
          <w:i/>
          <w:szCs w:val="28"/>
          <w:lang w:eastAsia="ko-KR"/>
        </w:rPr>
        <w:t>Специальные предупреждения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В связи со стимулирующим действием аскорбиновой кислоты на синтез кортикостероидных гормонов необходимо следить за функцией почек и артериальным давлением. При длительном применении больших доз возможно угнетение функции инсулярного аппарата поджелудочной железы, поэтому в процессе лечения ее необходимо регулярно контролировать. 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>У пациентов с повышенным содержанием железа в организме следует применять аскорбиновую кислоту в минимальных дозах.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Назначение аскорбиновой кислоты пациентам с быстро пролиферирующими и интенсивно </w:t>
      </w:r>
      <w:proofErr w:type="spellStart"/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>метастазирующими</w:t>
      </w:r>
      <w:proofErr w:type="spellEnd"/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 опухолями может усугубить течение процесса.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Аскорбиновая кислота как восстановитель может искажать результаты лабораторных тестов (содержание в крови глюкозы, билирубина, активности «печеночных» </w:t>
      </w:r>
      <w:proofErr w:type="spellStart"/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>трансаминаз</w:t>
      </w:r>
      <w:proofErr w:type="spellEnd"/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 и ЛДГ).</w:t>
      </w:r>
    </w:p>
    <w:p w:rsidR="00BA5C57" w:rsidRPr="00D925DE" w:rsidRDefault="00BA5C57" w:rsidP="00BA5C57">
      <w:pPr>
        <w:pStyle w:val="a3"/>
        <w:rPr>
          <w:rFonts w:ascii="Times New Roman" w:hAnsi="Times New Roman"/>
          <w:i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i/>
          <w:spacing w:val="-4"/>
          <w:kern w:val="28"/>
          <w:szCs w:val="28"/>
          <w:lang w:eastAsia="ko-KR"/>
        </w:rPr>
        <w:t>Применение во время беременности и кормления грудью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При беременности и в период лактации применяют только в случае, если предполагаемая польза для матери превышает риск для плода и ребенка. В период беременности и лактации </w:t>
      </w:r>
      <w:r w:rsidR="00AD7141" w:rsidRPr="00D925DE">
        <w:rPr>
          <w:rFonts w:ascii="Times New Roman" w:hAnsi="Times New Roman"/>
          <w:spacing w:val="-4"/>
          <w:kern w:val="28"/>
          <w:szCs w:val="28"/>
          <w:lang w:eastAsia="ko-KR"/>
        </w:rPr>
        <w:t>аскорбиновая кислота</w:t>
      </w: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t xml:space="preserve"> принимается только по назначению врача. Ежедневная потребность в аскорбиновой кислоте во II-III триместрах беременности 90-100 мг. Следует иметь в виду, что плод может адаптироваться к высоким дозам аскорбиновой кислоты, которую принимает беременная женщина, и затем у новорожденного возможно развитие синдрома «отмены». Теоретически существует опасность для ребенка при применении кормящей матерью высоких доз аскорбиновой кислоты (рекомендуется не превышать кормящей матерью ежедневной потребности в аскорбиновой кислоте). Рекомендуемая ежедневная потребность в аскорбиновой кислоте в период лактации 120 мг. </w:t>
      </w:r>
    </w:p>
    <w:p w:rsidR="00BA5C57" w:rsidRPr="00D925DE" w:rsidRDefault="00BA5C57" w:rsidP="00BA5C57">
      <w:pPr>
        <w:pStyle w:val="a3"/>
        <w:rPr>
          <w:rFonts w:ascii="Times New Roman" w:hAnsi="Times New Roman"/>
          <w:i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i/>
          <w:spacing w:val="-4"/>
          <w:kern w:val="28"/>
          <w:szCs w:val="28"/>
          <w:lang w:eastAsia="ko-KR"/>
        </w:rPr>
        <w:t xml:space="preserve">Влияние на способность управлять автотранспортом </w:t>
      </w:r>
      <w:r w:rsidR="00AD7141" w:rsidRPr="00D925DE">
        <w:rPr>
          <w:rFonts w:ascii="Times New Roman" w:hAnsi="Times New Roman"/>
          <w:i/>
          <w:spacing w:val="-4"/>
          <w:kern w:val="28"/>
          <w:szCs w:val="28"/>
          <w:lang w:eastAsia="ko-KR"/>
        </w:rPr>
        <w:t>и потенциально</w:t>
      </w:r>
      <w:r w:rsidRPr="00D925DE">
        <w:rPr>
          <w:rFonts w:ascii="Times New Roman" w:hAnsi="Times New Roman"/>
          <w:i/>
          <w:spacing w:val="-4"/>
          <w:kern w:val="28"/>
          <w:szCs w:val="28"/>
          <w:lang w:eastAsia="ko-KR"/>
        </w:rPr>
        <w:t xml:space="preserve"> опасными механизмами </w:t>
      </w:r>
    </w:p>
    <w:p w:rsidR="00BA5C57" w:rsidRPr="00D925DE" w:rsidRDefault="00BA5C57" w:rsidP="00BA5C57">
      <w:pPr>
        <w:pStyle w:val="a3"/>
        <w:rPr>
          <w:rFonts w:ascii="Times New Roman" w:hAnsi="Times New Roman"/>
          <w:spacing w:val="-4"/>
          <w:kern w:val="28"/>
          <w:szCs w:val="28"/>
          <w:lang w:eastAsia="ko-KR"/>
        </w:rPr>
      </w:pPr>
      <w:r w:rsidRPr="00D925DE">
        <w:rPr>
          <w:rFonts w:ascii="Times New Roman" w:hAnsi="Times New Roman"/>
          <w:spacing w:val="-4"/>
          <w:kern w:val="28"/>
          <w:szCs w:val="28"/>
          <w:lang w:eastAsia="ko-KR"/>
        </w:rPr>
        <w:lastRenderedPageBreak/>
        <w:t>Не влияет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val="kk-KZ"/>
        </w:rPr>
      </w:pPr>
      <w:r w:rsidRPr="00D925DE">
        <w:rPr>
          <w:rFonts w:ascii="Times New Roman" w:hAnsi="Times New Roman"/>
          <w:b/>
          <w:szCs w:val="28"/>
        </w:rPr>
        <w:t>Рекомендации по применению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val="kk-KZ"/>
        </w:rPr>
      </w:pPr>
      <w:r w:rsidRPr="00D925DE">
        <w:rPr>
          <w:rFonts w:ascii="Times New Roman" w:hAnsi="Times New Roman"/>
          <w:b/>
          <w:i/>
          <w:szCs w:val="28"/>
        </w:rPr>
        <w:t>Режим дозирования</w:t>
      </w:r>
    </w:p>
    <w:p w:rsidR="00BA5C57" w:rsidRPr="00D925DE" w:rsidRDefault="00BA5C57" w:rsidP="00BA5C57">
      <w:pPr>
        <w:pStyle w:val="a3"/>
        <w:rPr>
          <w:rFonts w:ascii="Times New Roman" w:hAnsi="Times New Roman"/>
          <w:snapToGrid w:val="0"/>
          <w:color w:val="000000"/>
          <w:szCs w:val="28"/>
        </w:rPr>
      </w:pPr>
      <w:r w:rsidRPr="00D925DE">
        <w:rPr>
          <w:rFonts w:ascii="Times New Roman" w:hAnsi="Times New Roman"/>
          <w:snapToGrid w:val="0"/>
          <w:color w:val="000000"/>
          <w:szCs w:val="28"/>
        </w:rPr>
        <w:t xml:space="preserve">Внутрь. </w:t>
      </w:r>
      <w:r w:rsidRPr="00D925DE">
        <w:rPr>
          <w:rFonts w:ascii="Times New Roman" w:hAnsi="Times New Roman"/>
          <w:i/>
          <w:snapToGrid w:val="0"/>
          <w:color w:val="000000"/>
          <w:szCs w:val="28"/>
        </w:rPr>
        <w:t>С профилактической целью</w:t>
      </w:r>
      <w:r w:rsidRPr="00D925DE">
        <w:rPr>
          <w:rFonts w:ascii="Times New Roman" w:hAnsi="Times New Roman"/>
          <w:snapToGrid w:val="0"/>
          <w:color w:val="000000"/>
          <w:szCs w:val="28"/>
        </w:rPr>
        <w:t xml:space="preserve"> (в пересчете на аскорбиновую кислоту):</w:t>
      </w:r>
    </w:p>
    <w:p w:rsidR="00BA5C57" w:rsidRPr="00D925DE" w:rsidRDefault="00BA5C57" w:rsidP="00BA5C57">
      <w:pPr>
        <w:pStyle w:val="a3"/>
        <w:rPr>
          <w:rFonts w:ascii="Times New Roman" w:hAnsi="Times New Roman"/>
          <w:snapToGrid w:val="0"/>
          <w:color w:val="000000"/>
          <w:szCs w:val="28"/>
        </w:rPr>
      </w:pPr>
      <w:r w:rsidRPr="00D925DE">
        <w:rPr>
          <w:rFonts w:ascii="Times New Roman" w:hAnsi="Times New Roman"/>
          <w:snapToGrid w:val="0"/>
          <w:color w:val="000000"/>
          <w:szCs w:val="28"/>
        </w:rPr>
        <w:t>взрослым по 50-100 мг/</w:t>
      </w:r>
      <w:proofErr w:type="spellStart"/>
      <w:r w:rsidRPr="00D925DE">
        <w:rPr>
          <w:rFonts w:ascii="Times New Roman" w:hAnsi="Times New Roman"/>
          <w:snapToGrid w:val="0"/>
          <w:color w:val="000000"/>
          <w:szCs w:val="28"/>
        </w:rPr>
        <w:t>сут</w:t>
      </w:r>
      <w:proofErr w:type="spellEnd"/>
      <w:r w:rsidRPr="00D925DE">
        <w:rPr>
          <w:rFonts w:ascii="Times New Roman" w:hAnsi="Times New Roman"/>
          <w:snapToGrid w:val="0"/>
          <w:color w:val="000000"/>
          <w:szCs w:val="28"/>
        </w:rPr>
        <w:t>, детям от 6 до 14 лет по 50 мг в сутки, детям старше 14 лет по 50-75 мг в сутки.</w:t>
      </w:r>
    </w:p>
    <w:p w:rsidR="00BA5C57" w:rsidRPr="00D925DE" w:rsidRDefault="00BA5C57" w:rsidP="00BA5C57">
      <w:pPr>
        <w:pStyle w:val="a3"/>
        <w:rPr>
          <w:rFonts w:ascii="Times New Roman" w:hAnsi="Times New Roman"/>
          <w:snapToGrid w:val="0"/>
          <w:color w:val="000000"/>
          <w:szCs w:val="28"/>
        </w:rPr>
      </w:pPr>
      <w:r w:rsidRPr="00D925DE">
        <w:rPr>
          <w:rFonts w:ascii="Times New Roman" w:hAnsi="Times New Roman"/>
          <w:i/>
          <w:snapToGrid w:val="0"/>
          <w:color w:val="000000"/>
          <w:szCs w:val="28"/>
        </w:rPr>
        <w:t>С лечебной целью</w:t>
      </w:r>
      <w:r w:rsidRPr="00D925DE">
        <w:rPr>
          <w:rFonts w:ascii="Times New Roman" w:hAnsi="Times New Roman"/>
          <w:snapToGrid w:val="0"/>
          <w:color w:val="000000"/>
          <w:szCs w:val="28"/>
        </w:rPr>
        <w:t xml:space="preserve"> (в пересчете на аскорбиновую кислоту):</w:t>
      </w:r>
    </w:p>
    <w:p w:rsidR="00BA5C57" w:rsidRPr="00D925DE" w:rsidRDefault="00BA5C57" w:rsidP="00BA5C57">
      <w:pPr>
        <w:pStyle w:val="a3"/>
        <w:rPr>
          <w:rFonts w:ascii="Times New Roman" w:hAnsi="Times New Roman"/>
          <w:snapToGrid w:val="0"/>
          <w:color w:val="000000"/>
          <w:szCs w:val="28"/>
        </w:rPr>
      </w:pPr>
      <w:r w:rsidRPr="00D925DE">
        <w:rPr>
          <w:rFonts w:ascii="Times New Roman" w:hAnsi="Times New Roman"/>
          <w:snapToGrid w:val="0"/>
          <w:color w:val="000000"/>
          <w:szCs w:val="28"/>
        </w:rPr>
        <w:t xml:space="preserve">взрослым по 50-100 мг 3-5 раз в день, детям старше 6 </w:t>
      </w:r>
      <w:r w:rsidR="00AD7141" w:rsidRPr="00D925DE">
        <w:rPr>
          <w:rFonts w:ascii="Times New Roman" w:hAnsi="Times New Roman"/>
          <w:snapToGrid w:val="0"/>
          <w:color w:val="000000"/>
          <w:szCs w:val="28"/>
        </w:rPr>
        <w:t>лет по</w:t>
      </w:r>
      <w:r w:rsidRPr="00D925DE">
        <w:rPr>
          <w:rFonts w:ascii="Times New Roman" w:hAnsi="Times New Roman"/>
          <w:snapToGrid w:val="0"/>
          <w:color w:val="000000"/>
          <w:szCs w:val="28"/>
        </w:rPr>
        <w:t xml:space="preserve"> 50-100 мг 2-3 раза в день. Длительность терапии и дозу устанавливает лечащий врач.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i/>
          <w:szCs w:val="28"/>
        </w:rPr>
      </w:pPr>
      <w:r w:rsidRPr="00D925DE">
        <w:rPr>
          <w:rFonts w:ascii="Times New Roman" w:hAnsi="Times New Roman"/>
          <w:b/>
          <w:i/>
          <w:szCs w:val="28"/>
        </w:rPr>
        <w:t>Меры, которые необходимо принять в случае передозировки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i/>
          <w:szCs w:val="28"/>
          <w:lang w:eastAsia="ko-KR"/>
        </w:rPr>
        <w:t xml:space="preserve">Симптомы: </w:t>
      </w:r>
      <w:r w:rsidRPr="00D925DE">
        <w:rPr>
          <w:rFonts w:ascii="Times New Roman" w:hAnsi="Times New Roman"/>
          <w:szCs w:val="28"/>
          <w:lang w:eastAsia="ko-KR"/>
        </w:rPr>
        <w:t xml:space="preserve">при применении более </w:t>
      </w:r>
      <w:smartTag w:uri="urn:schemas-microsoft-com:office:smarttags" w:element="metricconverter">
        <w:smartTagPr>
          <w:attr w:name="ProductID" w:val="1 г"/>
        </w:smartTagPr>
        <w:r w:rsidRPr="00D925DE">
          <w:rPr>
            <w:rFonts w:ascii="Times New Roman" w:hAnsi="Times New Roman"/>
            <w:szCs w:val="28"/>
            <w:lang w:eastAsia="ko-KR"/>
          </w:rPr>
          <w:t>1 г</w:t>
        </w:r>
      </w:smartTag>
      <w:r w:rsidRPr="00D925DE">
        <w:rPr>
          <w:rFonts w:ascii="Times New Roman" w:hAnsi="Times New Roman"/>
          <w:szCs w:val="28"/>
          <w:lang w:eastAsia="ko-KR"/>
        </w:rPr>
        <w:t xml:space="preserve"> – головная боль, повышение возбудимости ЦНС, бессонница, тошнота, рвота, диарея,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гиперацидный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гастрит,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ульцерация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слизистой оболочки ЖКТ, угнетение функции инсулярного аппарата поджелудочной железы (гипергликемия,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глюкозурия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),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гипероксалурия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оксалатный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нефролитиаз, повреждение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гломерулярного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аппарата почек, умеренная поллакиурия (при приеме дозы более 600 мг/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сут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). Снижение проницаемости капилляров (возможно ухудшение трофики тканей, повышение артериального давления, </w:t>
      </w:r>
      <w:bookmarkStart w:id="0" w:name="_GoBack"/>
      <w:bookmarkEnd w:id="0"/>
      <w:r w:rsidR="00AD7141" w:rsidRPr="00D925DE">
        <w:rPr>
          <w:rFonts w:ascii="Times New Roman" w:hAnsi="Times New Roman"/>
          <w:szCs w:val="28"/>
          <w:lang w:eastAsia="ko-KR"/>
        </w:rPr>
        <w:t>гиперкоагуляция, развитие</w:t>
      </w:r>
      <w:r w:rsidRPr="00D925DE">
        <w:rPr>
          <w:rFonts w:ascii="Times New Roman" w:hAnsi="Times New Roman"/>
          <w:szCs w:val="28"/>
          <w:lang w:eastAsia="ko-KR"/>
        </w:rPr>
        <w:t xml:space="preserve"> микроангиопатий).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i/>
          <w:szCs w:val="28"/>
        </w:rPr>
        <w:t>Лечение:</w:t>
      </w:r>
      <w:r w:rsidRPr="00D925DE">
        <w:rPr>
          <w:rFonts w:ascii="Times New Roman" w:hAnsi="Times New Roman"/>
          <w:szCs w:val="28"/>
        </w:rPr>
        <w:t xml:space="preserve"> отмена препарата, симптоматическая терапия (контроль артериального давления, назначение </w:t>
      </w:r>
      <w:proofErr w:type="spellStart"/>
      <w:r w:rsidRPr="00D925DE">
        <w:rPr>
          <w:rFonts w:ascii="Times New Roman" w:hAnsi="Times New Roman"/>
          <w:szCs w:val="28"/>
        </w:rPr>
        <w:t>антиагрегантов</w:t>
      </w:r>
      <w:proofErr w:type="spellEnd"/>
      <w:r w:rsidRPr="00D925DE">
        <w:rPr>
          <w:rFonts w:ascii="Times New Roman" w:hAnsi="Times New Roman"/>
          <w:szCs w:val="28"/>
        </w:rPr>
        <w:t xml:space="preserve">, инсулина, ощелачивающих средств). Специфического антидота нет. Гемодиализ и </w:t>
      </w:r>
      <w:proofErr w:type="spellStart"/>
      <w:r w:rsidRPr="00D925DE">
        <w:rPr>
          <w:rFonts w:ascii="Times New Roman" w:hAnsi="Times New Roman"/>
          <w:szCs w:val="28"/>
        </w:rPr>
        <w:t>перитонеальный</w:t>
      </w:r>
      <w:proofErr w:type="spellEnd"/>
      <w:r w:rsidRPr="00D925DE">
        <w:rPr>
          <w:rFonts w:ascii="Times New Roman" w:hAnsi="Times New Roman"/>
          <w:szCs w:val="28"/>
        </w:rPr>
        <w:t xml:space="preserve"> диализ не эффективен.</w:t>
      </w:r>
    </w:p>
    <w:p w:rsidR="00BA5C57" w:rsidRPr="00D925DE" w:rsidRDefault="00BA5C57" w:rsidP="00BA5C57">
      <w:pPr>
        <w:jc w:val="both"/>
        <w:rPr>
          <w:b/>
          <w:i/>
          <w:sz w:val="28"/>
          <w:szCs w:val="28"/>
        </w:rPr>
      </w:pPr>
      <w:r w:rsidRPr="00D925DE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BA5C57" w:rsidRPr="00D925DE" w:rsidRDefault="00BA5C57" w:rsidP="00BA5C57">
      <w:pPr>
        <w:jc w:val="both"/>
        <w:rPr>
          <w:bCs/>
          <w:sz w:val="28"/>
          <w:szCs w:val="28"/>
        </w:rPr>
      </w:pPr>
      <w:r w:rsidRPr="00D925D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BA5C57" w:rsidRPr="00D925DE" w:rsidRDefault="00BA5C57" w:rsidP="00BA5C57">
      <w:pPr>
        <w:jc w:val="both"/>
        <w:rPr>
          <w:bCs/>
          <w:sz w:val="28"/>
          <w:szCs w:val="28"/>
        </w:rPr>
      </w:pPr>
    </w:p>
    <w:p w:rsidR="00BA5C57" w:rsidRPr="00D925DE" w:rsidRDefault="00BA5C57" w:rsidP="00BA5C57">
      <w:pPr>
        <w:jc w:val="both"/>
        <w:rPr>
          <w:b/>
          <w:sz w:val="28"/>
          <w:szCs w:val="28"/>
        </w:rPr>
      </w:pPr>
      <w:r w:rsidRPr="00D925DE">
        <w:rPr>
          <w:b/>
          <w:sz w:val="28"/>
          <w:szCs w:val="28"/>
        </w:rPr>
        <w:t>Описание нежелательных реакций,</w:t>
      </w:r>
      <w:r w:rsidRPr="00D925DE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аллергические реакции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- раздражение слизистой оболочки желудочно-кишечного тракта (тошнота, рвота, диарея, спазм ЖКТ)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 xml:space="preserve">- угнетение функции инсулярного аппарата поджелудочной железы (гипергликемия,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глюкозурия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>)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 xml:space="preserve">-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гипероксалурия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и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оксалатный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нефрокальциноз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(при применении </w:t>
      </w:r>
      <w:r w:rsidR="00AD7141" w:rsidRPr="00D925DE">
        <w:rPr>
          <w:rFonts w:ascii="Times New Roman" w:hAnsi="Times New Roman"/>
          <w:szCs w:val="28"/>
          <w:lang w:eastAsia="ko-KR"/>
        </w:rPr>
        <w:t>больших доз</w:t>
      </w:r>
      <w:r w:rsidRPr="00D925DE">
        <w:rPr>
          <w:rFonts w:ascii="Times New Roman" w:hAnsi="Times New Roman"/>
          <w:szCs w:val="28"/>
          <w:lang w:eastAsia="ko-KR"/>
        </w:rPr>
        <w:t>)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 xml:space="preserve">-тромбоцитоз,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гипертромбинемия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эритропения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нейтрофильный</w:t>
      </w:r>
      <w:proofErr w:type="spellEnd"/>
      <w:r w:rsidRPr="00D925DE">
        <w:rPr>
          <w:rFonts w:ascii="Times New Roman" w:hAnsi="Times New Roman"/>
          <w:szCs w:val="28"/>
          <w:lang w:eastAsia="ko-KR"/>
        </w:rPr>
        <w:t xml:space="preserve"> лейкоцитоз, </w:t>
      </w:r>
      <w:proofErr w:type="spellStart"/>
      <w:r w:rsidRPr="00D925DE">
        <w:rPr>
          <w:rFonts w:ascii="Times New Roman" w:hAnsi="Times New Roman"/>
          <w:szCs w:val="28"/>
          <w:lang w:eastAsia="ko-KR"/>
        </w:rPr>
        <w:t>гипокалиемия</w:t>
      </w:r>
      <w:proofErr w:type="spellEnd"/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 xml:space="preserve">- </w:t>
      </w:r>
      <w:r w:rsidRPr="00D925DE">
        <w:rPr>
          <w:rFonts w:ascii="Times New Roman" w:hAnsi="Times New Roman"/>
          <w:szCs w:val="28"/>
        </w:rPr>
        <w:t>повышение артериального давления, миокардиодистрофия</w:t>
      </w:r>
    </w:p>
    <w:p w:rsidR="00BA5C57" w:rsidRPr="00D925DE" w:rsidRDefault="00BA5C57" w:rsidP="00BA5C57">
      <w:pPr>
        <w:jc w:val="both"/>
        <w:rPr>
          <w:sz w:val="28"/>
          <w:szCs w:val="28"/>
        </w:rPr>
      </w:pPr>
    </w:p>
    <w:p w:rsidR="00BA5C57" w:rsidRPr="00D925DE" w:rsidRDefault="00BA5C57" w:rsidP="00BA5C57">
      <w:pPr>
        <w:jc w:val="both"/>
        <w:rPr>
          <w:b/>
          <w:color w:val="000000"/>
          <w:sz w:val="28"/>
          <w:szCs w:val="28"/>
          <w:lang w:val="kk-KZ"/>
        </w:rPr>
      </w:pPr>
      <w:r w:rsidRPr="00D925DE">
        <w:rPr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</w:t>
      </w:r>
      <w:r w:rsidRPr="00D925DE">
        <w:rPr>
          <w:b/>
          <w:color w:val="000000"/>
          <w:sz w:val="28"/>
          <w:szCs w:val="28"/>
        </w:rPr>
        <w:lastRenderedPageBreak/>
        <w:t>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BA5C57" w:rsidRPr="00D925DE" w:rsidRDefault="00BA5C57" w:rsidP="00BA5C57">
      <w:pPr>
        <w:tabs>
          <w:tab w:val="left" w:pos="930"/>
        </w:tabs>
        <w:jc w:val="both"/>
        <w:rPr>
          <w:rFonts w:eastAsia="Calibri"/>
          <w:b/>
          <w:color w:val="000000"/>
          <w:sz w:val="28"/>
          <w:szCs w:val="28"/>
          <w:lang w:val="kk-KZ" w:eastAsia="en-US"/>
        </w:rPr>
      </w:pPr>
      <w:r w:rsidRPr="00D925DE">
        <w:rPr>
          <w:rFonts w:eastAsia="Calibri"/>
          <w:b/>
          <w:color w:val="000000"/>
          <w:sz w:val="28"/>
          <w:szCs w:val="28"/>
          <w:lang w:val="kk-KZ" w:eastAsia="en-US"/>
        </w:rPr>
        <w:tab/>
      </w:r>
    </w:p>
    <w:p w:rsidR="00BA5C57" w:rsidRPr="00D925DE" w:rsidRDefault="00BA5C57" w:rsidP="00BA5C57">
      <w:pPr>
        <w:jc w:val="both"/>
        <w:rPr>
          <w:sz w:val="28"/>
          <w:szCs w:val="28"/>
        </w:rPr>
      </w:pPr>
      <w:r w:rsidRPr="00D925DE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BA5C57" w:rsidRPr="00887E15" w:rsidRDefault="00BA5C57" w:rsidP="00BA5C57">
      <w:pPr>
        <w:jc w:val="both"/>
        <w:rPr>
          <w:sz w:val="28"/>
          <w:szCs w:val="28"/>
          <w:lang w:val="kk-KZ"/>
        </w:rPr>
      </w:pPr>
      <w:r w:rsidRPr="00173685">
        <w:rPr>
          <w:sz w:val="28"/>
          <w:szCs w:val="28"/>
          <w:lang w:val="kk-KZ"/>
        </w:rPr>
        <w:t>http://www.ndda.kz</w:t>
      </w:r>
    </w:p>
    <w:p w:rsidR="00BA5C57" w:rsidRPr="00D925DE" w:rsidRDefault="00BA5C57" w:rsidP="00BA5C57">
      <w:pPr>
        <w:jc w:val="both"/>
        <w:rPr>
          <w:color w:val="7030A0"/>
          <w:sz w:val="28"/>
          <w:szCs w:val="28"/>
          <w:lang w:val="kk-KZ"/>
        </w:rPr>
      </w:pPr>
    </w:p>
    <w:p w:rsidR="00BA5C57" w:rsidRPr="00D925DE" w:rsidRDefault="00BA5C57" w:rsidP="00BA5C57">
      <w:pPr>
        <w:jc w:val="both"/>
        <w:rPr>
          <w:sz w:val="28"/>
          <w:szCs w:val="28"/>
        </w:rPr>
      </w:pPr>
    </w:p>
    <w:p w:rsidR="00BA5C57" w:rsidRPr="00D925DE" w:rsidRDefault="00BA5C57" w:rsidP="00BA5C57">
      <w:pPr>
        <w:pStyle w:val="a6"/>
        <w:tabs>
          <w:tab w:val="left" w:pos="381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5D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  <w:r w:rsidRPr="00D925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A5C57" w:rsidRPr="00D925DE" w:rsidRDefault="00BA5C57" w:rsidP="00BA5C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25DE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D9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szCs w:val="28"/>
        </w:rPr>
        <w:t>Одна таблетка содержит: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i/>
          <w:szCs w:val="28"/>
        </w:rPr>
        <w:t xml:space="preserve">активные вещества – </w:t>
      </w:r>
      <w:r w:rsidRPr="00D925DE">
        <w:rPr>
          <w:rFonts w:ascii="Times New Roman" w:hAnsi="Times New Roman"/>
          <w:szCs w:val="28"/>
        </w:rPr>
        <w:t>аскорбиновая кислота 100 мг, глюкозы моногидрат      877 мг,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</w:rPr>
      </w:pPr>
      <w:r w:rsidRPr="00D925DE">
        <w:rPr>
          <w:rFonts w:ascii="Times New Roman" w:hAnsi="Times New Roman"/>
          <w:i/>
          <w:szCs w:val="28"/>
        </w:rPr>
        <w:t>вспомогательные вещества</w:t>
      </w:r>
      <w:r w:rsidRPr="00D925DE">
        <w:rPr>
          <w:rFonts w:ascii="Times New Roman" w:hAnsi="Times New Roman"/>
          <w:szCs w:val="28"/>
        </w:rPr>
        <w:t xml:space="preserve">: крахмал картофельный, тальк, </w:t>
      </w:r>
      <w:r w:rsidRPr="00D925DE">
        <w:rPr>
          <w:rFonts w:ascii="Times New Roman" w:hAnsi="Times New Roman"/>
          <w:szCs w:val="28"/>
          <w:lang w:val="kk-KZ"/>
        </w:rPr>
        <w:t>кальция стеарат</w:t>
      </w:r>
      <w:r w:rsidRPr="00D925DE">
        <w:rPr>
          <w:rFonts w:ascii="Times New Roman" w:hAnsi="Times New Roman"/>
          <w:szCs w:val="28"/>
        </w:rPr>
        <w:t>.</w:t>
      </w:r>
    </w:p>
    <w:p w:rsidR="00BA5C57" w:rsidRPr="00D925DE" w:rsidRDefault="00BA5C57" w:rsidP="00BA5C57">
      <w:pPr>
        <w:pStyle w:val="a3"/>
        <w:rPr>
          <w:rFonts w:ascii="Times New Roman" w:hAnsi="Times New Roman"/>
          <w:i/>
          <w:szCs w:val="28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i/>
          <w:szCs w:val="28"/>
        </w:rPr>
      </w:pPr>
      <w:r w:rsidRPr="00D925DE">
        <w:rPr>
          <w:rFonts w:ascii="Times New Roman" w:hAnsi="Times New Roman"/>
          <w:b/>
          <w:i/>
          <w:szCs w:val="28"/>
        </w:rPr>
        <w:t>Описание внешнего вида, запаха, вкуса</w:t>
      </w:r>
    </w:p>
    <w:p w:rsidR="00BA5C57" w:rsidRPr="00D925DE" w:rsidRDefault="00BA5C57" w:rsidP="00BA5C57">
      <w:pPr>
        <w:shd w:val="clear" w:color="auto" w:fill="FFFFFF"/>
        <w:jc w:val="both"/>
        <w:rPr>
          <w:sz w:val="28"/>
          <w:szCs w:val="28"/>
          <w:lang w:val="kk-KZ"/>
        </w:rPr>
      </w:pPr>
      <w:r w:rsidRPr="00D925DE">
        <w:rPr>
          <w:sz w:val="28"/>
          <w:szCs w:val="28"/>
        </w:rPr>
        <w:t>Таблетки белого цвета, плоскоцилиндрической формы, с риской и фаской.</w:t>
      </w:r>
    </w:p>
    <w:p w:rsidR="00BA5C57" w:rsidRPr="00D925DE" w:rsidRDefault="00BA5C57" w:rsidP="00BA5C57">
      <w:pPr>
        <w:shd w:val="clear" w:color="auto" w:fill="FFFFFF"/>
        <w:jc w:val="both"/>
        <w:rPr>
          <w:b/>
          <w:sz w:val="28"/>
          <w:szCs w:val="28"/>
          <w:lang w:val="kk-KZ" w:eastAsia="ko-KR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>Форма выпуска</w:t>
      </w:r>
      <w:r w:rsidRPr="00D925DE">
        <w:rPr>
          <w:rFonts w:ascii="Times New Roman" w:hAnsi="Times New Roman"/>
          <w:szCs w:val="28"/>
          <w:lang w:eastAsia="ko-KR"/>
        </w:rPr>
        <w:t xml:space="preserve"> </w:t>
      </w:r>
      <w:r w:rsidRPr="00D925DE">
        <w:rPr>
          <w:rFonts w:ascii="Times New Roman" w:hAnsi="Times New Roman"/>
          <w:b/>
          <w:szCs w:val="28"/>
          <w:lang w:eastAsia="ko-KR"/>
        </w:rPr>
        <w:t>и упаковка</w:t>
      </w:r>
    </w:p>
    <w:p w:rsidR="00BA5C57" w:rsidRPr="00D925DE" w:rsidRDefault="00BA5C57" w:rsidP="00BA5C57">
      <w:pPr>
        <w:shd w:val="clear" w:color="auto" w:fill="FFFFFF"/>
        <w:ind w:left="36"/>
        <w:jc w:val="both"/>
        <w:rPr>
          <w:sz w:val="28"/>
          <w:szCs w:val="28"/>
        </w:rPr>
      </w:pPr>
      <w:r w:rsidRPr="00D925DE">
        <w:rPr>
          <w:bCs/>
          <w:sz w:val="28"/>
          <w:szCs w:val="28"/>
        </w:rPr>
        <w:t>По 10</w:t>
      </w:r>
      <w:r w:rsidRPr="00D925DE">
        <w:rPr>
          <w:b/>
          <w:bCs/>
          <w:sz w:val="28"/>
          <w:szCs w:val="28"/>
        </w:rPr>
        <w:t xml:space="preserve"> </w:t>
      </w:r>
      <w:r w:rsidRPr="00D925DE">
        <w:rPr>
          <w:sz w:val="28"/>
          <w:szCs w:val="28"/>
        </w:rPr>
        <w:t>таблеток помещают в контурную</w:t>
      </w:r>
      <w:r w:rsidRPr="00D925DE">
        <w:rPr>
          <w:color w:val="FF0000"/>
          <w:sz w:val="28"/>
          <w:szCs w:val="28"/>
          <w:shd w:val="clear" w:color="auto" w:fill="FFFFFF"/>
        </w:rPr>
        <w:t xml:space="preserve"> </w:t>
      </w:r>
      <w:r w:rsidRPr="00D925DE">
        <w:rPr>
          <w:sz w:val="28"/>
          <w:szCs w:val="28"/>
          <w:shd w:val="clear" w:color="auto" w:fill="FFFFFF"/>
        </w:rPr>
        <w:t>ячейковую</w:t>
      </w:r>
      <w:r w:rsidRPr="00D925DE">
        <w:rPr>
          <w:color w:val="FF0000"/>
          <w:sz w:val="28"/>
          <w:szCs w:val="28"/>
          <w:shd w:val="clear" w:color="auto" w:fill="FFFFFF"/>
        </w:rPr>
        <w:t xml:space="preserve"> </w:t>
      </w:r>
      <w:r w:rsidRPr="00D925DE">
        <w:rPr>
          <w:sz w:val="28"/>
          <w:szCs w:val="28"/>
          <w:shd w:val="clear" w:color="auto" w:fill="FFFFFF"/>
        </w:rPr>
        <w:t xml:space="preserve">упаковку из прозрачной </w:t>
      </w:r>
      <w:r w:rsidR="00AD7141" w:rsidRPr="00D925DE">
        <w:rPr>
          <w:sz w:val="28"/>
          <w:szCs w:val="28"/>
          <w:shd w:val="clear" w:color="auto" w:fill="FFFFFF"/>
        </w:rPr>
        <w:t>пленки поливинилхлоридной</w:t>
      </w:r>
      <w:r w:rsidRPr="00D925DE">
        <w:rPr>
          <w:sz w:val="28"/>
          <w:szCs w:val="28"/>
          <w:shd w:val="clear" w:color="auto" w:fill="FFFFFF"/>
        </w:rPr>
        <w:t xml:space="preserve"> и фольги алюминиевой печатной.</w:t>
      </w:r>
    </w:p>
    <w:p w:rsidR="00BA5C57" w:rsidRPr="00D925DE" w:rsidRDefault="00AD7141" w:rsidP="00BA5C57">
      <w:pPr>
        <w:tabs>
          <w:tab w:val="left" w:pos="851"/>
        </w:tabs>
        <w:jc w:val="both"/>
        <w:rPr>
          <w:sz w:val="28"/>
          <w:szCs w:val="28"/>
          <w:lang w:val="kk-KZ"/>
        </w:rPr>
      </w:pPr>
      <w:r w:rsidRPr="00D925DE">
        <w:rPr>
          <w:sz w:val="28"/>
          <w:szCs w:val="28"/>
        </w:rPr>
        <w:t>Контурные ячейковые</w:t>
      </w:r>
      <w:r w:rsidR="00BA5C57" w:rsidRPr="00D925DE">
        <w:rPr>
          <w:sz w:val="28"/>
          <w:szCs w:val="28"/>
        </w:rPr>
        <w:t xml:space="preserve"> упаковки вместе с инструкциями по медицинскому применению на государственном и русском языках помещают в групповую тару.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val="kk-KZ" w:eastAsia="ko-KR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 xml:space="preserve">Срок хранения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val="kk-KZ" w:eastAsia="ko-KR"/>
        </w:rPr>
      </w:pPr>
      <w:r w:rsidRPr="00D925DE">
        <w:rPr>
          <w:rFonts w:ascii="Times New Roman" w:hAnsi="Times New Roman"/>
          <w:szCs w:val="28"/>
          <w:lang w:val="kk-KZ" w:eastAsia="ko-KR"/>
        </w:rPr>
        <w:t>2</w:t>
      </w:r>
      <w:r w:rsidRPr="00D925DE">
        <w:rPr>
          <w:rFonts w:ascii="Times New Roman" w:hAnsi="Times New Roman"/>
          <w:szCs w:val="28"/>
          <w:lang w:eastAsia="ko-KR"/>
        </w:rPr>
        <w:t xml:space="preserve"> год</w:t>
      </w:r>
      <w:r w:rsidRPr="00D925DE">
        <w:rPr>
          <w:rFonts w:ascii="Times New Roman" w:hAnsi="Times New Roman"/>
          <w:szCs w:val="28"/>
          <w:lang w:val="kk-KZ" w:eastAsia="ko-KR"/>
        </w:rPr>
        <w:t>а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Не применять по истечении срока годности.</w:t>
      </w:r>
    </w:p>
    <w:p w:rsidR="00BA5C57" w:rsidRPr="00D925DE" w:rsidRDefault="00BA5C57" w:rsidP="00BA5C57">
      <w:pPr>
        <w:pStyle w:val="a3"/>
        <w:rPr>
          <w:rFonts w:ascii="Times New Roman" w:hAnsi="Times New Roman"/>
          <w:b/>
          <w:szCs w:val="28"/>
          <w:lang w:eastAsia="ko-KR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>Условия хранения</w:t>
      </w:r>
      <w:r w:rsidRPr="00D925DE">
        <w:rPr>
          <w:rFonts w:ascii="Times New Roman" w:hAnsi="Times New Roman"/>
          <w:szCs w:val="28"/>
          <w:lang w:eastAsia="ko-KR"/>
        </w:rPr>
        <w:t xml:space="preserve"> </w:t>
      </w:r>
    </w:p>
    <w:p w:rsidR="00BA5C57" w:rsidRPr="00D925DE" w:rsidRDefault="00BA5C57" w:rsidP="00BA5C57">
      <w:pPr>
        <w:jc w:val="both"/>
        <w:rPr>
          <w:sz w:val="28"/>
          <w:szCs w:val="28"/>
        </w:rPr>
      </w:pPr>
      <w:r w:rsidRPr="00D925DE">
        <w:rPr>
          <w:sz w:val="28"/>
          <w:szCs w:val="28"/>
        </w:rPr>
        <w:t xml:space="preserve">Хранить в сухом, защищенном от света месте, при температуре не выше 25 </w:t>
      </w:r>
      <w:proofErr w:type="spellStart"/>
      <w:r w:rsidRPr="00D925DE">
        <w:rPr>
          <w:sz w:val="28"/>
          <w:szCs w:val="28"/>
          <w:vertAlign w:val="superscript"/>
        </w:rPr>
        <w:t>о</w:t>
      </w:r>
      <w:r w:rsidRPr="00D925DE">
        <w:rPr>
          <w:sz w:val="28"/>
          <w:szCs w:val="28"/>
        </w:rPr>
        <w:t>С</w:t>
      </w:r>
      <w:proofErr w:type="spellEnd"/>
      <w:r w:rsidRPr="00D925DE">
        <w:rPr>
          <w:sz w:val="28"/>
          <w:szCs w:val="28"/>
        </w:rPr>
        <w:t>.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Хранить в недоступном для детей месте!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b/>
          <w:szCs w:val="28"/>
          <w:lang w:eastAsia="ko-KR"/>
        </w:rPr>
        <w:t>Условия отпуска из аптек</w:t>
      </w:r>
      <w:r w:rsidRPr="00D925DE">
        <w:rPr>
          <w:rFonts w:ascii="Times New Roman" w:hAnsi="Times New Roman"/>
          <w:szCs w:val="28"/>
          <w:lang w:eastAsia="ko-KR"/>
        </w:rPr>
        <w:t xml:space="preserve"> </w:t>
      </w:r>
    </w:p>
    <w:p w:rsidR="00BA5C57" w:rsidRPr="00D925DE" w:rsidRDefault="00BA5C57" w:rsidP="00BA5C57">
      <w:pPr>
        <w:pStyle w:val="a3"/>
        <w:rPr>
          <w:rFonts w:ascii="Times New Roman" w:hAnsi="Times New Roman"/>
          <w:szCs w:val="28"/>
          <w:lang w:eastAsia="ko-KR"/>
        </w:rPr>
      </w:pPr>
      <w:r w:rsidRPr="00D925DE">
        <w:rPr>
          <w:rFonts w:ascii="Times New Roman" w:hAnsi="Times New Roman"/>
          <w:szCs w:val="28"/>
          <w:lang w:eastAsia="ko-KR"/>
        </w:rPr>
        <w:t>Без рецепта</w:t>
      </w:r>
    </w:p>
    <w:p w:rsidR="00BA5C57" w:rsidRPr="00D925DE" w:rsidRDefault="00BA5C57" w:rsidP="00BA5C57">
      <w:pPr>
        <w:shd w:val="clear" w:color="auto" w:fill="FFFFFF"/>
        <w:jc w:val="both"/>
        <w:rPr>
          <w:b/>
          <w:sz w:val="28"/>
          <w:szCs w:val="28"/>
          <w:lang w:eastAsia="ko-KR"/>
        </w:rPr>
      </w:pPr>
    </w:p>
    <w:p w:rsidR="00BA5C57" w:rsidRPr="00D925DE" w:rsidRDefault="00BA5C57" w:rsidP="00BA5C57">
      <w:pPr>
        <w:jc w:val="both"/>
        <w:rPr>
          <w:b/>
          <w:sz w:val="28"/>
          <w:szCs w:val="28"/>
          <w:lang w:val="kk-KZ"/>
        </w:rPr>
      </w:pPr>
      <w:r w:rsidRPr="00D925DE">
        <w:rPr>
          <w:b/>
          <w:sz w:val="28"/>
          <w:szCs w:val="28"/>
        </w:rPr>
        <w:t xml:space="preserve">Сведения о производителе </w:t>
      </w:r>
    </w:p>
    <w:p w:rsidR="00BA5C57" w:rsidRPr="00D925DE" w:rsidRDefault="00BA5C57" w:rsidP="00BA5C57">
      <w:pPr>
        <w:tabs>
          <w:tab w:val="left" w:pos="426"/>
        </w:tabs>
        <w:jc w:val="both"/>
        <w:rPr>
          <w:sz w:val="28"/>
          <w:szCs w:val="28"/>
        </w:rPr>
      </w:pPr>
      <w:r w:rsidRPr="00D925DE">
        <w:rPr>
          <w:sz w:val="28"/>
          <w:szCs w:val="28"/>
        </w:rPr>
        <w:t>ТОО «С</w:t>
      </w:r>
      <w:r w:rsidRPr="00D925DE">
        <w:rPr>
          <w:sz w:val="28"/>
          <w:szCs w:val="28"/>
          <w:lang w:val="kk-KZ"/>
        </w:rPr>
        <w:t>УЛТАН</w:t>
      </w:r>
      <w:r w:rsidRPr="00D925DE">
        <w:rPr>
          <w:sz w:val="28"/>
          <w:szCs w:val="28"/>
        </w:rPr>
        <w:t>», Республика Казахстан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</w:rPr>
      </w:pPr>
      <w:r w:rsidRPr="00D925DE">
        <w:rPr>
          <w:bCs/>
          <w:iCs/>
          <w:sz w:val="28"/>
          <w:szCs w:val="28"/>
        </w:rPr>
        <w:t xml:space="preserve">041613, </w:t>
      </w:r>
      <w:proofErr w:type="spellStart"/>
      <w:r w:rsidRPr="00D925DE">
        <w:rPr>
          <w:bCs/>
          <w:iCs/>
          <w:sz w:val="28"/>
          <w:szCs w:val="28"/>
        </w:rPr>
        <w:t>Алматинская</w:t>
      </w:r>
      <w:proofErr w:type="spellEnd"/>
      <w:r w:rsidRPr="00D925DE">
        <w:rPr>
          <w:bCs/>
          <w:iCs/>
          <w:sz w:val="28"/>
          <w:szCs w:val="28"/>
        </w:rPr>
        <w:t xml:space="preserve"> обл., </w:t>
      </w:r>
      <w:proofErr w:type="spellStart"/>
      <w:r w:rsidRPr="00D925DE">
        <w:rPr>
          <w:bCs/>
          <w:iCs/>
          <w:sz w:val="28"/>
          <w:szCs w:val="28"/>
        </w:rPr>
        <w:t>Талгарский</w:t>
      </w:r>
      <w:proofErr w:type="spellEnd"/>
      <w:r w:rsidRPr="00D925DE">
        <w:rPr>
          <w:bCs/>
          <w:iCs/>
          <w:sz w:val="28"/>
          <w:szCs w:val="28"/>
        </w:rPr>
        <w:t xml:space="preserve"> р-н, </w:t>
      </w:r>
      <w:proofErr w:type="spellStart"/>
      <w:r w:rsidRPr="00D925DE">
        <w:rPr>
          <w:bCs/>
          <w:iCs/>
          <w:sz w:val="28"/>
          <w:szCs w:val="28"/>
        </w:rPr>
        <w:t>с.Еркин</w:t>
      </w:r>
      <w:proofErr w:type="spellEnd"/>
      <w:r w:rsidRPr="00D925DE">
        <w:rPr>
          <w:bCs/>
          <w:iCs/>
          <w:sz w:val="28"/>
          <w:szCs w:val="28"/>
        </w:rPr>
        <w:t xml:space="preserve">, ул. </w:t>
      </w:r>
      <w:proofErr w:type="spellStart"/>
      <w:r w:rsidRPr="00D925DE">
        <w:rPr>
          <w:bCs/>
          <w:iCs/>
          <w:sz w:val="28"/>
          <w:szCs w:val="28"/>
        </w:rPr>
        <w:t>Б.Момышулы</w:t>
      </w:r>
      <w:proofErr w:type="spellEnd"/>
      <w:r w:rsidRPr="00D925DE">
        <w:rPr>
          <w:bCs/>
          <w:iCs/>
          <w:sz w:val="28"/>
          <w:szCs w:val="28"/>
        </w:rPr>
        <w:t xml:space="preserve">, д.5  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  <w:lang w:val="kk-KZ"/>
        </w:rPr>
      </w:pPr>
      <w:r w:rsidRPr="00D925DE">
        <w:rPr>
          <w:bCs/>
          <w:iCs/>
          <w:sz w:val="28"/>
          <w:szCs w:val="28"/>
        </w:rPr>
        <w:t>Тел./факс: 8 (727) 3054865, 30548</w:t>
      </w:r>
      <w:r w:rsidRPr="00D925DE">
        <w:rPr>
          <w:bCs/>
          <w:iCs/>
          <w:sz w:val="28"/>
          <w:szCs w:val="28"/>
          <w:lang w:val="kk-KZ"/>
        </w:rPr>
        <w:t>986</w:t>
      </w:r>
    </w:p>
    <w:p w:rsidR="00BA5C57" w:rsidRPr="00755AA8" w:rsidRDefault="00BA5C57" w:rsidP="00BA5C5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925DE">
        <w:rPr>
          <w:sz w:val="28"/>
          <w:szCs w:val="28"/>
        </w:rPr>
        <w:t xml:space="preserve">Адрес электронной почты: </w:t>
      </w:r>
      <w:proofErr w:type="spellStart"/>
      <w:r w:rsidRPr="00D925DE">
        <w:rPr>
          <w:sz w:val="28"/>
          <w:szCs w:val="28"/>
          <w:lang w:val="en-US"/>
        </w:rPr>
        <w:t>toosultan</w:t>
      </w:r>
      <w:proofErr w:type="spellEnd"/>
      <w:r w:rsidRPr="00D925DE">
        <w:rPr>
          <w:sz w:val="28"/>
          <w:szCs w:val="28"/>
        </w:rPr>
        <w:t>@</w:t>
      </w:r>
      <w:r w:rsidRPr="00D925DE">
        <w:rPr>
          <w:sz w:val="28"/>
          <w:szCs w:val="28"/>
          <w:lang w:val="en-US"/>
        </w:rPr>
        <w:t>list</w:t>
      </w:r>
      <w:r w:rsidRPr="00D925DE">
        <w:rPr>
          <w:sz w:val="28"/>
          <w:szCs w:val="28"/>
        </w:rPr>
        <w:t>.</w:t>
      </w:r>
      <w:proofErr w:type="spellStart"/>
      <w:r w:rsidRPr="00D925DE">
        <w:rPr>
          <w:sz w:val="28"/>
          <w:szCs w:val="28"/>
          <w:lang w:val="en-US"/>
        </w:rPr>
        <w:t>ru</w:t>
      </w:r>
      <w:proofErr w:type="spellEnd"/>
    </w:p>
    <w:p w:rsidR="00BA5C57" w:rsidRPr="00D925DE" w:rsidRDefault="00BA5C57" w:rsidP="00BA5C57">
      <w:pPr>
        <w:jc w:val="both"/>
        <w:rPr>
          <w:sz w:val="28"/>
          <w:szCs w:val="28"/>
        </w:rPr>
      </w:pPr>
    </w:p>
    <w:p w:rsidR="00BA5C57" w:rsidRPr="00D925DE" w:rsidRDefault="00BA5C57" w:rsidP="00BA5C57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D925DE">
        <w:rPr>
          <w:rFonts w:ascii="Times New Roman" w:hAnsi="Times New Roman"/>
          <w:b/>
        </w:rPr>
        <w:t>Держатель регистрационного удостоверения</w:t>
      </w:r>
    </w:p>
    <w:p w:rsidR="00BA5C57" w:rsidRPr="00D925DE" w:rsidRDefault="00BA5C57" w:rsidP="00BA5C57">
      <w:pPr>
        <w:tabs>
          <w:tab w:val="left" w:pos="426"/>
        </w:tabs>
        <w:jc w:val="both"/>
        <w:rPr>
          <w:sz w:val="28"/>
          <w:szCs w:val="28"/>
        </w:rPr>
      </w:pPr>
      <w:r w:rsidRPr="00D925DE">
        <w:rPr>
          <w:sz w:val="28"/>
          <w:szCs w:val="28"/>
        </w:rPr>
        <w:lastRenderedPageBreak/>
        <w:t>ТОО «С</w:t>
      </w:r>
      <w:r w:rsidRPr="00D925DE">
        <w:rPr>
          <w:sz w:val="28"/>
          <w:szCs w:val="28"/>
          <w:lang w:val="kk-KZ"/>
        </w:rPr>
        <w:t>УЛТАН</w:t>
      </w:r>
      <w:r w:rsidRPr="00D925DE">
        <w:rPr>
          <w:sz w:val="28"/>
          <w:szCs w:val="28"/>
        </w:rPr>
        <w:t>», Республика Казахстан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</w:rPr>
      </w:pPr>
      <w:r w:rsidRPr="00D925DE">
        <w:rPr>
          <w:bCs/>
          <w:iCs/>
          <w:sz w:val="28"/>
          <w:szCs w:val="28"/>
        </w:rPr>
        <w:t xml:space="preserve">041613, </w:t>
      </w:r>
      <w:proofErr w:type="spellStart"/>
      <w:r w:rsidRPr="00D925DE">
        <w:rPr>
          <w:bCs/>
          <w:iCs/>
          <w:sz w:val="28"/>
          <w:szCs w:val="28"/>
        </w:rPr>
        <w:t>Алматинская</w:t>
      </w:r>
      <w:proofErr w:type="spellEnd"/>
      <w:r w:rsidRPr="00D925DE">
        <w:rPr>
          <w:bCs/>
          <w:iCs/>
          <w:sz w:val="28"/>
          <w:szCs w:val="28"/>
        </w:rPr>
        <w:t xml:space="preserve"> обл., </w:t>
      </w:r>
      <w:proofErr w:type="spellStart"/>
      <w:r w:rsidRPr="00D925DE">
        <w:rPr>
          <w:bCs/>
          <w:iCs/>
          <w:sz w:val="28"/>
          <w:szCs w:val="28"/>
        </w:rPr>
        <w:t>Талгарский</w:t>
      </w:r>
      <w:proofErr w:type="spellEnd"/>
      <w:r w:rsidRPr="00D925DE">
        <w:rPr>
          <w:bCs/>
          <w:iCs/>
          <w:sz w:val="28"/>
          <w:szCs w:val="28"/>
        </w:rPr>
        <w:t xml:space="preserve"> р-н, </w:t>
      </w:r>
      <w:proofErr w:type="spellStart"/>
      <w:r w:rsidRPr="00D925DE">
        <w:rPr>
          <w:bCs/>
          <w:iCs/>
          <w:sz w:val="28"/>
          <w:szCs w:val="28"/>
        </w:rPr>
        <w:t>с.Еркин</w:t>
      </w:r>
      <w:proofErr w:type="spellEnd"/>
      <w:r w:rsidRPr="00D925DE">
        <w:rPr>
          <w:bCs/>
          <w:iCs/>
          <w:sz w:val="28"/>
          <w:szCs w:val="28"/>
        </w:rPr>
        <w:t xml:space="preserve">, ул. </w:t>
      </w:r>
      <w:proofErr w:type="spellStart"/>
      <w:r w:rsidRPr="00D925DE">
        <w:rPr>
          <w:bCs/>
          <w:iCs/>
          <w:sz w:val="28"/>
          <w:szCs w:val="28"/>
        </w:rPr>
        <w:t>Б.Момышулы</w:t>
      </w:r>
      <w:proofErr w:type="spellEnd"/>
      <w:r w:rsidRPr="00D925DE">
        <w:rPr>
          <w:bCs/>
          <w:iCs/>
          <w:sz w:val="28"/>
          <w:szCs w:val="28"/>
        </w:rPr>
        <w:t xml:space="preserve">, д.5  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  <w:lang w:val="kk-KZ"/>
        </w:rPr>
      </w:pPr>
      <w:r w:rsidRPr="00D925DE">
        <w:rPr>
          <w:bCs/>
          <w:iCs/>
          <w:sz w:val="28"/>
          <w:szCs w:val="28"/>
        </w:rPr>
        <w:t>Тел./факс: 8 (727) 3054865, 30548</w:t>
      </w:r>
      <w:r w:rsidRPr="00D925DE">
        <w:rPr>
          <w:bCs/>
          <w:iCs/>
          <w:sz w:val="28"/>
          <w:szCs w:val="28"/>
          <w:lang w:val="kk-KZ"/>
        </w:rPr>
        <w:t>986</w:t>
      </w:r>
    </w:p>
    <w:p w:rsidR="00BA5C57" w:rsidRPr="00755AA8" w:rsidRDefault="00BA5C57" w:rsidP="00BA5C5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D925DE">
        <w:rPr>
          <w:sz w:val="28"/>
          <w:szCs w:val="28"/>
        </w:rPr>
        <w:t xml:space="preserve">Адрес электронной почты: </w:t>
      </w:r>
      <w:proofErr w:type="spellStart"/>
      <w:r w:rsidRPr="00D925DE">
        <w:rPr>
          <w:sz w:val="28"/>
          <w:szCs w:val="28"/>
          <w:lang w:val="en-US"/>
        </w:rPr>
        <w:t>toosultan</w:t>
      </w:r>
      <w:proofErr w:type="spellEnd"/>
      <w:r w:rsidRPr="00D925DE">
        <w:rPr>
          <w:sz w:val="28"/>
          <w:szCs w:val="28"/>
        </w:rPr>
        <w:t>@</w:t>
      </w:r>
      <w:r w:rsidRPr="00D925DE">
        <w:rPr>
          <w:sz w:val="28"/>
          <w:szCs w:val="28"/>
          <w:lang w:val="en-US"/>
        </w:rPr>
        <w:t>list</w:t>
      </w:r>
      <w:r w:rsidRPr="00D925DE">
        <w:rPr>
          <w:sz w:val="28"/>
          <w:szCs w:val="28"/>
        </w:rPr>
        <w:t>.</w:t>
      </w:r>
      <w:proofErr w:type="spellStart"/>
      <w:r w:rsidRPr="00D925DE">
        <w:rPr>
          <w:sz w:val="28"/>
          <w:szCs w:val="28"/>
          <w:lang w:val="en-US"/>
        </w:rPr>
        <w:t>ru</w:t>
      </w:r>
      <w:proofErr w:type="spellEnd"/>
    </w:p>
    <w:p w:rsidR="00BA5C57" w:rsidRPr="00D925DE" w:rsidRDefault="00BA5C57" w:rsidP="00BA5C57">
      <w:pPr>
        <w:tabs>
          <w:tab w:val="left" w:pos="426"/>
        </w:tabs>
        <w:jc w:val="both"/>
        <w:rPr>
          <w:sz w:val="28"/>
          <w:szCs w:val="28"/>
        </w:rPr>
      </w:pPr>
    </w:p>
    <w:p w:rsidR="00BA5C57" w:rsidRPr="00D925DE" w:rsidRDefault="00BA5C57" w:rsidP="00BA5C57">
      <w:pPr>
        <w:pStyle w:val="2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D925DE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 w:rsidRPr="00D925DE">
        <w:rPr>
          <w:b/>
          <w:color w:val="000000"/>
          <w:sz w:val="28"/>
          <w:szCs w:val="28"/>
          <w:lang w:val="kk-KZ"/>
        </w:rPr>
        <w:t xml:space="preserve"> </w:t>
      </w:r>
      <w:r w:rsidRPr="00D925DE">
        <w:rPr>
          <w:b/>
          <w:iCs/>
          <w:sz w:val="28"/>
          <w:szCs w:val="28"/>
        </w:rPr>
        <w:t xml:space="preserve">и  </w:t>
      </w:r>
      <w:r w:rsidRPr="00D925DE">
        <w:rPr>
          <w:b/>
          <w:iCs/>
          <w:sz w:val="28"/>
          <w:szCs w:val="28"/>
          <w:lang w:eastAsia="de-DE"/>
        </w:rPr>
        <w:t xml:space="preserve"> ответственная</w:t>
      </w:r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D925DE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D925DE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D925DE">
        <w:rPr>
          <w:spacing w:val="-4"/>
          <w:sz w:val="28"/>
          <w:szCs w:val="28"/>
          <w:lang w:val="de-DE"/>
        </w:rPr>
        <w:t xml:space="preserve"> </w:t>
      </w:r>
    </w:p>
    <w:p w:rsidR="00BA5C57" w:rsidRPr="00D925DE" w:rsidRDefault="00BA5C57" w:rsidP="00BA5C57">
      <w:pPr>
        <w:tabs>
          <w:tab w:val="left" w:pos="426"/>
        </w:tabs>
        <w:jc w:val="both"/>
        <w:rPr>
          <w:sz w:val="28"/>
          <w:szCs w:val="28"/>
        </w:rPr>
      </w:pPr>
      <w:r w:rsidRPr="00D925DE">
        <w:rPr>
          <w:sz w:val="28"/>
          <w:szCs w:val="28"/>
        </w:rPr>
        <w:t>ТОО «С</w:t>
      </w:r>
      <w:r w:rsidRPr="00D925DE">
        <w:rPr>
          <w:sz w:val="28"/>
          <w:szCs w:val="28"/>
          <w:lang w:val="kk-KZ"/>
        </w:rPr>
        <w:t>УЛТАН</w:t>
      </w:r>
      <w:r w:rsidRPr="00D925DE">
        <w:rPr>
          <w:sz w:val="28"/>
          <w:szCs w:val="28"/>
        </w:rPr>
        <w:t>», Республика Казахстан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</w:rPr>
      </w:pPr>
      <w:r w:rsidRPr="00D925DE">
        <w:rPr>
          <w:bCs/>
          <w:iCs/>
          <w:sz w:val="28"/>
          <w:szCs w:val="28"/>
        </w:rPr>
        <w:t xml:space="preserve">041613, </w:t>
      </w:r>
      <w:proofErr w:type="spellStart"/>
      <w:r w:rsidRPr="00D925DE">
        <w:rPr>
          <w:bCs/>
          <w:iCs/>
          <w:sz w:val="28"/>
          <w:szCs w:val="28"/>
        </w:rPr>
        <w:t>Алматинская</w:t>
      </w:r>
      <w:proofErr w:type="spellEnd"/>
      <w:r w:rsidRPr="00D925DE">
        <w:rPr>
          <w:bCs/>
          <w:iCs/>
          <w:sz w:val="28"/>
          <w:szCs w:val="28"/>
        </w:rPr>
        <w:t xml:space="preserve"> обл., </w:t>
      </w:r>
      <w:proofErr w:type="spellStart"/>
      <w:r w:rsidRPr="00D925DE">
        <w:rPr>
          <w:bCs/>
          <w:iCs/>
          <w:sz w:val="28"/>
          <w:szCs w:val="28"/>
        </w:rPr>
        <w:t>Талгарский</w:t>
      </w:r>
      <w:proofErr w:type="spellEnd"/>
      <w:r w:rsidRPr="00D925DE">
        <w:rPr>
          <w:bCs/>
          <w:iCs/>
          <w:sz w:val="28"/>
          <w:szCs w:val="28"/>
        </w:rPr>
        <w:t xml:space="preserve"> р-н, </w:t>
      </w:r>
      <w:proofErr w:type="spellStart"/>
      <w:r w:rsidRPr="00D925DE">
        <w:rPr>
          <w:bCs/>
          <w:iCs/>
          <w:sz w:val="28"/>
          <w:szCs w:val="28"/>
        </w:rPr>
        <w:t>с.Еркин</w:t>
      </w:r>
      <w:proofErr w:type="spellEnd"/>
      <w:r w:rsidRPr="00D925DE">
        <w:rPr>
          <w:bCs/>
          <w:iCs/>
          <w:sz w:val="28"/>
          <w:szCs w:val="28"/>
        </w:rPr>
        <w:t xml:space="preserve">, ул. </w:t>
      </w:r>
      <w:proofErr w:type="spellStart"/>
      <w:r w:rsidRPr="00D925DE">
        <w:rPr>
          <w:bCs/>
          <w:iCs/>
          <w:sz w:val="28"/>
          <w:szCs w:val="28"/>
        </w:rPr>
        <w:t>Б.Момышулы</w:t>
      </w:r>
      <w:proofErr w:type="spellEnd"/>
      <w:r w:rsidRPr="00D925DE">
        <w:rPr>
          <w:bCs/>
          <w:iCs/>
          <w:sz w:val="28"/>
          <w:szCs w:val="28"/>
        </w:rPr>
        <w:t xml:space="preserve">, д.5  </w:t>
      </w:r>
    </w:p>
    <w:p w:rsidR="00BA5C57" w:rsidRPr="00D925DE" w:rsidRDefault="00BA5C57" w:rsidP="00BA5C57">
      <w:pPr>
        <w:jc w:val="both"/>
        <w:rPr>
          <w:bCs/>
          <w:iCs/>
          <w:sz w:val="28"/>
          <w:szCs w:val="28"/>
          <w:lang w:val="kk-KZ"/>
        </w:rPr>
      </w:pPr>
      <w:r w:rsidRPr="00D925DE">
        <w:rPr>
          <w:bCs/>
          <w:iCs/>
          <w:sz w:val="28"/>
          <w:szCs w:val="28"/>
        </w:rPr>
        <w:t>Тел./факс: 8 (727) 3054865, 30548</w:t>
      </w:r>
      <w:r w:rsidRPr="00D925DE">
        <w:rPr>
          <w:bCs/>
          <w:iCs/>
          <w:sz w:val="28"/>
          <w:szCs w:val="28"/>
          <w:lang w:val="kk-KZ"/>
        </w:rPr>
        <w:t>986</w:t>
      </w:r>
    </w:p>
    <w:p w:rsidR="00B37E89" w:rsidRDefault="00BA5C57" w:rsidP="00BA5C57">
      <w:r w:rsidRPr="00D925DE">
        <w:rPr>
          <w:sz w:val="28"/>
          <w:szCs w:val="28"/>
        </w:rPr>
        <w:t xml:space="preserve">Адрес электронной почты: </w:t>
      </w:r>
      <w:proofErr w:type="spellStart"/>
      <w:r w:rsidRPr="00D925DE">
        <w:rPr>
          <w:sz w:val="28"/>
          <w:szCs w:val="28"/>
          <w:lang w:val="en-US"/>
        </w:rPr>
        <w:t>toosulta</w:t>
      </w:r>
      <w:proofErr w:type="spellEnd"/>
    </w:p>
    <w:sectPr w:rsidR="00B3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B"/>
    <w:rsid w:val="006355BB"/>
    <w:rsid w:val="00AD7141"/>
    <w:rsid w:val="00B37E89"/>
    <w:rsid w:val="00B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60CC-EEAD-4AC4-ADFB-FEEA992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C57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BA5C57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rsid w:val="00BA5C57"/>
    <w:rPr>
      <w:rFonts w:ascii="Tahoma" w:hAnsi="Tahoma" w:cs="Tahoma" w:hint="default"/>
      <w:color w:val="808080"/>
      <w:u w:val="single"/>
    </w:rPr>
  </w:style>
  <w:style w:type="paragraph" w:customStyle="1" w:styleId="Normal1">
    <w:name w:val="Normal1"/>
    <w:rsid w:val="00BA5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5C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A5C57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BA5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A5C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BA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2">
    <w:name w:val="Noeeu2"/>
    <w:basedOn w:val="a"/>
    <w:rsid w:val="00BA5C57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Ш. Кисина</dc:creator>
  <cp:keywords/>
  <dc:description/>
  <cp:lastModifiedBy>Маржан Ш. Кисина</cp:lastModifiedBy>
  <cp:revision>3</cp:revision>
  <dcterms:created xsi:type="dcterms:W3CDTF">2022-06-23T08:24:00Z</dcterms:created>
  <dcterms:modified xsi:type="dcterms:W3CDTF">2022-06-23T08:25:00Z</dcterms:modified>
</cp:coreProperties>
</file>